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DD" w:rsidRDefault="008B08DD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484E53">
        <w:rPr>
          <w:rFonts w:cs="Times New Roman"/>
          <w:b/>
          <w:sz w:val="24"/>
          <w:szCs w:val="24"/>
        </w:rPr>
        <w:t xml:space="preserve">Załącznik nr </w:t>
      </w:r>
      <w:r w:rsidR="00227446" w:rsidRPr="00484E53">
        <w:rPr>
          <w:rFonts w:cs="Times New Roman"/>
          <w:b/>
          <w:sz w:val="24"/>
          <w:szCs w:val="24"/>
        </w:rPr>
        <w:t>5</w:t>
      </w:r>
      <w:r w:rsidRPr="00484E53">
        <w:rPr>
          <w:rFonts w:cs="Times New Roman"/>
          <w:b/>
          <w:sz w:val="24"/>
          <w:szCs w:val="24"/>
        </w:rPr>
        <w:t xml:space="preserve"> </w:t>
      </w:r>
    </w:p>
    <w:p w:rsidR="00484E53" w:rsidRDefault="00484E53" w:rsidP="00484E53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</w:p>
    <w:p w:rsidR="003528EF" w:rsidRDefault="003528EF" w:rsidP="00484E53">
      <w:pPr>
        <w:spacing w:after="0" w:line="240" w:lineRule="auto"/>
        <w:jc w:val="center"/>
        <w:rPr>
          <w:rFonts w:cs="Times New Roman"/>
          <w:b/>
        </w:rPr>
      </w:pPr>
    </w:p>
    <w:p w:rsidR="008B08DD" w:rsidRPr="003528EF" w:rsidRDefault="008B08DD" w:rsidP="00484E53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28EF">
        <w:rPr>
          <w:rFonts w:cs="Times New Roman"/>
          <w:b/>
          <w:sz w:val="28"/>
          <w:szCs w:val="28"/>
        </w:rPr>
        <w:t>Oświadczenie o braku podstaw do wykluczenia z postępowania</w:t>
      </w:r>
    </w:p>
    <w:p w:rsidR="00484E53" w:rsidRPr="00217682" w:rsidRDefault="00484E53" w:rsidP="00484E53">
      <w:pPr>
        <w:spacing w:after="0" w:line="240" w:lineRule="auto"/>
        <w:jc w:val="center"/>
        <w:rPr>
          <w:rFonts w:cs="Times New Roman"/>
        </w:rPr>
      </w:pPr>
    </w:p>
    <w:p w:rsidR="00887C5A" w:rsidRPr="00012E0E" w:rsidRDefault="008B08DD" w:rsidP="00887C5A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217682">
        <w:rPr>
          <w:rFonts w:cs="Times New Roman"/>
        </w:rPr>
        <w:t xml:space="preserve">Nawiązując do </w:t>
      </w:r>
      <w:r w:rsidR="00C56805" w:rsidRPr="000A2FD0">
        <w:rPr>
          <w:rFonts w:cs="Times New Roman"/>
        </w:rPr>
        <w:t xml:space="preserve">ogłoszenia o </w:t>
      </w:r>
      <w:r w:rsidR="00C56805">
        <w:rPr>
          <w:rFonts w:cs="Times New Roman"/>
        </w:rPr>
        <w:t>zamówieniu</w:t>
      </w:r>
      <w:r w:rsidR="00C56805" w:rsidRPr="007271F4">
        <w:rPr>
          <w:rFonts w:eastAsia="Times New Roman"/>
          <w:lang w:eastAsia="pl-PL"/>
        </w:rPr>
        <w:t xml:space="preserve"> </w:t>
      </w:r>
      <w:r w:rsidR="00C56805" w:rsidRPr="00532E70">
        <w:rPr>
          <w:rFonts w:cs="Roboto-Regular"/>
          <w:b/>
          <w:lang w:eastAsia="pl-PL"/>
        </w:rPr>
        <w:t xml:space="preserve">Nr </w:t>
      </w:r>
      <w:r w:rsidR="00A71A74" w:rsidRPr="004C154A">
        <w:rPr>
          <w:b/>
        </w:rPr>
        <w:t>2021-8378-54767</w:t>
      </w:r>
      <w:r w:rsidR="00A71A74">
        <w:rPr>
          <w:b/>
        </w:rPr>
        <w:t xml:space="preserve"> </w:t>
      </w:r>
      <w:r w:rsidR="00A71A74">
        <w:rPr>
          <w:rFonts w:eastAsia="Times New Roman"/>
          <w:b/>
          <w:lang w:eastAsia="pl-PL"/>
        </w:rPr>
        <w:t>z</w:t>
      </w:r>
      <w:r w:rsidR="00C56805" w:rsidRPr="00532E70">
        <w:rPr>
          <w:rFonts w:eastAsia="Times New Roman"/>
          <w:b/>
          <w:lang w:eastAsia="pl-PL"/>
        </w:rPr>
        <w:t xml:space="preserve"> dnia 2</w:t>
      </w:r>
      <w:r w:rsidR="00A71A74">
        <w:rPr>
          <w:rFonts w:eastAsia="Times New Roman"/>
          <w:b/>
          <w:lang w:eastAsia="pl-PL"/>
        </w:rPr>
        <w:t>2</w:t>
      </w:r>
      <w:r w:rsidR="00C56805" w:rsidRPr="00532E70">
        <w:rPr>
          <w:rFonts w:eastAsia="Times New Roman"/>
          <w:b/>
          <w:lang w:eastAsia="pl-PL"/>
        </w:rPr>
        <w:t xml:space="preserve"> </w:t>
      </w:r>
      <w:r w:rsidR="00887C5A">
        <w:rPr>
          <w:rFonts w:eastAsia="Times New Roman"/>
          <w:b/>
          <w:lang w:eastAsia="pl-PL"/>
        </w:rPr>
        <w:t>czerwca</w:t>
      </w:r>
      <w:r w:rsidR="00C56805" w:rsidRPr="00532E70">
        <w:rPr>
          <w:rFonts w:eastAsia="Times New Roman"/>
          <w:b/>
          <w:lang w:eastAsia="pl-PL"/>
        </w:rPr>
        <w:t xml:space="preserve"> 2021r.</w:t>
      </w:r>
      <w:r w:rsidR="00C56805">
        <w:rPr>
          <w:rFonts w:eastAsia="Times New Roman"/>
          <w:b/>
          <w:lang w:eastAsia="pl-PL"/>
        </w:rPr>
        <w:t xml:space="preserve"> na</w:t>
      </w:r>
      <w:r w:rsidR="005E55BF" w:rsidRPr="00217682">
        <w:rPr>
          <w:rFonts w:cs="Times New Roman"/>
        </w:rPr>
        <w:t xml:space="preserve"> </w:t>
      </w:r>
      <w:r w:rsidR="00887C5A" w:rsidRPr="00012E0E">
        <w:rPr>
          <w:rFonts w:eastAsia="Times New Roman"/>
          <w:lang w:eastAsia="pl-PL"/>
        </w:rPr>
        <w:t>„</w:t>
      </w:r>
      <w:r w:rsidR="00887C5A"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:rsidR="00887C5A" w:rsidRPr="00744D7A" w:rsidRDefault="00887C5A" w:rsidP="00887C5A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Odcinek 14.1  od komory K46B do osiedle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</w:t>
      </w:r>
    </w:p>
    <w:p w:rsidR="00887C5A" w:rsidRPr="00744D7A" w:rsidRDefault="00887C5A" w:rsidP="00887C5A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Odcinek 14.2 od trójnika przy budynku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–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przyłącze,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 do Osiedle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 xml:space="preserve">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przyłącze),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:rsidR="00887C5A" w:rsidRPr="00744D7A" w:rsidRDefault="00887C5A" w:rsidP="00887C5A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Trójnik przy bud. Błękitne 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13, bud. Błękitne</w:t>
      </w:r>
      <w:r>
        <w:rPr>
          <w:rFonts w:eastAsia="Times New Roman"/>
          <w:b/>
          <w:lang w:eastAsia="pl-PL"/>
        </w:rPr>
        <w:t xml:space="preserve"> </w:t>
      </w:r>
      <w:r w:rsidR="00A71A74">
        <w:rPr>
          <w:rFonts w:eastAsia="Times New Roman"/>
          <w:b/>
          <w:lang w:eastAsia="pl-PL"/>
        </w:rPr>
        <w:t>21</w:t>
      </w:r>
      <w:bookmarkStart w:id="0" w:name="_GoBack"/>
      <w:bookmarkEnd w:id="0"/>
    </w:p>
    <w:p w:rsidR="00887C5A" w:rsidRPr="00744D7A" w:rsidRDefault="00887C5A" w:rsidP="00887C5A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Trójnik przy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osiedle Błękitn</w:t>
      </w:r>
      <w:r>
        <w:rPr>
          <w:rFonts w:eastAsia="Times New Roman"/>
          <w:b/>
          <w:lang w:eastAsia="pl-PL"/>
        </w:rPr>
        <w:t>e 12, Błękitne 11, Błękitne 13, Błęk</w:t>
      </w:r>
      <w:r w:rsidRPr="00744D7A">
        <w:rPr>
          <w:rFonts w:eastAsia="Times New Roman"/>
          <w:b/>
          <w:lang w:eastAsia="pl-PL"/>
        </w:rPr>
        <w:t>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</w:t>
      </w:r>
      <w:r>
        <w:rPr>
          <w:rFonts w:eastAsia="Times New Roman"/>
          <w:b/>
          <w:lang w:eastAsia="pl-PL"/>
        </w:rPr>
        <w:t>ę</w:t>
      </w:r>
      <w:r w:rsidRPr="00744D7A">
        <w:rPr>
          <w:rFonts w:eastAsia="Times New Roman"/>
          <w:b/>
          <w:lang w:eastAsia="pl-PL"/>
        </w:rPr>
        <w:t>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Pawilon Błękitne 27</w:t>
      </w:r>
    </w:p>
    <w:p w:rsidR="00205CFB" w:rsidRPr="00217682" w:rsidRDefault="008B08DD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składamy oświadczenie o braku podstaw wykluczenia z postępowania</w:t>
      </w:r>
      <w:r w:rsidR="00205CFB" w:rsidRPr="00217682">
        <w:rPr>
          <w:rFonts w:cs="Times New Roman"/>
        </w:rPr>
        <w:t>.</w:t>
      </w:r>
    </w:p>
    <w:p w:rsidR="00205CFB" w:rsidRPr="00217682" w:rsidRDefault="00205CFB" w:rsidP="00205CFB">
      <w:pPr>
        <w:spacing w:after="0" w:line="240" w:lineRule="auto"/>
        <w:jc w:val="both"/>
        <w:rPr>
          <w:rFonts w:cs="Times New Roman"/>
        </w:rPr>
      </w:pPr>
      <w:r w:rsidRPr="00217682">
        <w:rPr>
          <w:rFonts w:cs="Times New Roman"/>
        </w:rPr>
        <w:t>Niniejszym oświadczamy, że:</w:t>
      </w:r>
    </w:p>
    <w:p w:rsidR="00205CFB" w:rsidRPr="003528EF" w:rsidRDefault="003528EF" w:rsidP="003528EF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N</w:t>
      </w:r>
      <w:r w:rsidR="00205CFB" w:rsidRPr="003528EF">
        <w:rPr>
          <w:rFonts w:cs="Times New Roman"/>
        </w:rPr>
        <w:t xml:space="preserve">ie jesteśmy powiązani z Zamawiającym osobowo ani kapitałowo. </w:t>
      </w:r>
    </w:p>
    <w:p w:rsidR="00205CFB" w:rsidRPr="00217682" w:rsidRDefault="00205CFB" w:rsidP="003528EF">
      <w:pPr>
        <w:spacing w:after="0" w:line="240" w:lineRule="auto"/>
        <w:ind w:left="348"/>
        <w:jc w:val="both"/>
        <w:rPr>
          <w:rFonts w:cs="Times New Roman"/>
        </w:rPr>
      </w:pPr>
      <w:r w:rsidRPr="00217682">
        <w:rPr>
          <w:rFonts w:cs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uczestniczeniu w spółce jako wspólnik spółki cywilnej lub spółki osobowej;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posiadaniu co najmniej 10 % udziałów lub akcji;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pełnieniu funkcji członka organu nadzorczego lub zarządzającego, prokurenta, pełnomocnika;</w:t>
      </w:r>
    </w:p>
    <w:p w:rsidR="00205CFB" w:rsidRPr="00217682" w:rsidRDefault="00205CFB" w:rsidP="003528E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205CFB" w:rsidRPr="003528EF" w:rsidRDefault="003528EF" w:rsidP="003528E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W</w:t>
      </w:r>
      <w:r w:rsidR="000C3C52" w:rsidRPr="003528EF">
        <w:rPr>
          <w:rFonts w:cs="Times New Roman"/>
        </w:rPr>
        <w:t xml:space="preserve"> stosunku do nas nie zachodzą podstawy</w:t>
      </w:r>
      <w:r w:rsidR="00C40201" w:rsidRPr="003528EF">
        <w:rPr>
          <w:rFonts w:cs="Times New Roman"/>
        </w:rPr>
        <w:t xml:space="preserve"> wykluczeni</w:t>
      </w:r>
      <w:r w:rsidR="000C3C52" w:rsidRPr="003528EF">
        <w:rPr>
          <w:rFonts w:cs="Times New Roman"/>
        </w:rPr>
        <w:t>a</w:t>
      </w:r>
      <w:r w:rsidR="00C40201" w:rsidRPr="003528EF">
        <w:rPr>
          <w:rFonts w:cs="Times New Roman"/>
        </w:rPr>
        <w:t xml:space="preserve"> z</w:t>
      </w:r>
      <w:r w:rsidR="00205CFB" w:rsidRPr="003528EF">
        <w:rPr>
          <w:rFonts w:cs="Times New Roman"/>
        </w:rPr>
        <w:t xml:space="preserve"> postępowania o udzielenie Zamówienia</w:t>
      </w:r>
      <w:r w:rsidR="000C3C52" w:rsidRPr="003528EF">
        <w:rPr>
          <w:rFonts w:cs="Times New Roman"/>
        </w:rPr>
        <w:t xml:space="preserve">, przy czym podstawy wykluczenia z postępowania obejmują Wykonawców, co do których zaistniały </w:t>
      </w:r>
      <w:r w:rsidR="00C40201" w:rsidRPr="003528EF">
        <w:rPr>
          <w:rFonts w:cs="Times New Roman"/>
        </w:rPr>
        <w:t>następując</w:t>
      </w:r>
      <w:r w:rsidR="000C3C52" w:rsidRPr="003528EF">
        <w:rPr>
          <w:rFonts w:cs="Times New Roman"/>
        </w:rPr>
        <w:t>e okoliczności:</w:t>
      </w:r>
    </w:p>
    <w:p w:rsidR="00205CFB" w:rsidRPr="00217682" w:rsidRDefault="00C40201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Wykonawcy</w:t>
      </w:r>
      <w:r w:rsidR="00205CFB" w:rsidRPr="00217682">
        <w:rPr>
          <w:rFonts w:cs="Times New Roman"/>
        </w:rPr>
        <w:t>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postepowania;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postepowania, a wartość niezrealizowanego zamówienia wyniosła co najmniej 5% wartości umowy;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w stosunku do których otwarto likwidacje lub których upadłość ogłoszono, z wyjątkiem Wykonawców, którzy po ogłoszeniu upadłości zawarli układ zatwierdzony prawomocnym postanowieniem sądu, jeżeli układ nie przewiduje zaspokojenia wierzycieli przez likwidacje majątku upadłego;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lastRenderedPageBreak/>
        <w:t>Wykonawc</w:t>
      </w:r>
      <w:r w:rsidR="00C40201" w:rsidRPr="00217682">
        <w:rPr>
          <w:rFonts w:cs="Times New Roman"/>
        </w:rPr>
        <w:t>y</w:t>
      </w:r>
      <w:r w:rsidRPr="00217682">
        <w:rPr>
          <w:rFonts w:cs="Times New Roman"/>
        </w:rPr>
        <w:t>, którzy zalegają z uiszczeniem podatków, opłat lub składek na ubezpieczenia społeczne lub zdrowotne, z wyjątkiem przypadków gdy uzyskali on przewidziane prawem zwolnienie, odroczenie, rozłożenie na raty zaległych płatności lub wstrzymanie w całości wykonania decyzji właściwego organu;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 xml:space="preserve">osoby fizyczne, które prawomocnie skazano za przestępstwo popełnione </w:t>
      </w:r>
      <w:r w:rsidRPr="00217682">
        <w:rPr>
          <w:rFonts w:cs="Times New Roman"/>
        </w:rPr>
        <w:br/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osiągniecia korzyści majątkowych, a także za przestępstwo skarbowe lub przestępstwo udziału</w:t>
      </w:r>
      <w:r w:rsidR="00C40201" w:rsidRPr="00217682">
        <w:rPr>
          <w:rFonts w:cs="Times New Roman"/>
        </w:rPr>
        <w:t xml:space="preserve"> </w:t>
      </w:r>
      <w:r w:rsidRPr="00217682">
        <w:rPr>
          <w:rFonts w:cs="Times New Roman"/>
        </w:rPr>
        <w:t>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jawne, których wspólnika prawomocnie skazano za przestępstwo popełnione w związku z postepowaniem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 xml:space="preserve">osoby prawne, których urzędującego członka organu zarządzającego prawomocnie skazano za przestępstwo popełnione w związku z postępowaniem o udzielenie 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  <w:rPr>
          <w:rFonts w:cs="Times New Roman"/>
        </w:rPr>
      </w:pPr>
      <w:r w:rsidRPr="00217682">
        <w:rPr>
          <w:rFonts w:cs="Times New Roman"/>
        </w:rPr>
        <w:t>podmioty zbiorowe, wobec których sąd orzekł zakaz ubiegania się o zamówienia na podstawie przepisów o odpowiedzialności podmiotów zbiorowych za czyny zabronione pod groźbą kary;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</w:pPr>
      <w:r w:rsidRPr="00217682">
        <w:rPr>
          <w:rFonts w:cs="Times New Roman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205CFB" w:rsidRPr="00217682" w:rsidRDefault="00205CFB" w:rsidP="003528E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95"/>
        <w:jc w:val="both"/>
      </w:pPr>
      <w:r w:rsidRPr="00217682">
        <w:rPr>
          <w:rFonts w:cs="Times New Roman"/>
        </w:rPr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</w:t>
      </w:r>
      <w:r w:rsidRPr="00217682">
        <w:rPr>
          <w:rFonts w:cs="Times New Roman"/>
        </w:rPr>
        <w:lastRenderedPageBreak/>
        <w:t>przepisom na terytorium Rzeczypospolitej Polskiej – przez okres 1 roku od dnia uprawomocnienia się wyroku</w:t>
      </w:r>
      <w:r w:rsidRPr="00217682">
        <w:t>.</w:t>
      </w:r>
    </w:p>
    <w:p w:rsidR="003528EF" w:rsidRDefault="003528EF" w:rsidP="00484E53">
      <w:pPr>
        <w:ind w:left="6372"/>
        <w:jc w:val="both"/>
        <w:rPr>
          <w:rFonts w:cs="Times New Roman"/>
          <w:sz w:val="14"/>
          <w:szCs w:val="14"/>
        </w:rPr>
      </w:pPr>
    </w:p>
    <w:p w:rsidR="00462108" w:rsidRDefault="00462108" w:rsidP="00484E53">
      <w:pPr>
        <w:ind w:left="6372"/>
        <w:jc w:val="both"/>
        <w:rPr>
          <w:rFonts w:cs="Times New Roman"/>
          <w:sz w:val="14"/>
          <w:szCs w:val="14"/>
        </w:rPr>
      </w:pPr>
    </w:p>
    <w:p w:rsidR="008B08DD" w:rsidRPr="00217682" w:rsidRDefault="00484E53" w:rsidP="00484E53">
      <w:pPr>
        <w:ind w:left="6372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Miejscowość, data: ……………………………</w:t>
      </w:r>
    </w:p>
    <w:p w:rsidR="008B08DD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...............................................................</w:t>
      </w:r>
    </w:p>
    <w:p w:rsidR="008B08DD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(podpis i pieczęć imienna osoby/osób</w:t>
      </w:r>
    </w:p>
    <w:p w:rsidR="003528EF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właściwej/</w:t>
      </w:r>
      <w:proofErr w:type="spellStart"/>
      <w:r w:rsidRPr="00217682">
        <w:rPr>
          <w:rFonts w:cs="Times New Roman"/>
          <w:sz w:val="14"/>
          <w:szCs w:val="14"/>
        </w:rPr>
        <w:t>ych</w:t>
      </w:r>
      <w:proofErr w:type="spellEnd"/>
      <w:r w:rsidRPr="00217682">
        <w:rPr>
          <w:rFonts w:cs="Times New Roman"/>
          <w:sz w:val="14"/>
          <w:szCs w:val="14"/>
        </w:rPr>
        <w:t xml:space="preserve"> do reprezentowania</w:t>
      </w:r>
    </w:p>
    <w:p w:rsidR="00576311" w:rsidRPr="00217682" w:rsidRDefault="008B08DD" w:rsidP="00217682">
      <w:pPr>
        <w:spacing w:after="0" w:line="240" w:lineRule="auto"/>
        <w:ind w:left="6373"/>
        <w:jc w:val="both"/>
        <w:rPr>
          <w:rFonts w:cs="Times New Roman"/>
          <w:sz w:val="14"/>
          <w:szCs w:val="14"/>
        </w:rPr>
      </w:pPr>
      <w:r w:rsidRPr="00217682">
        <w:rPr>
          <w:rFonts w:cs="Times New Roman"/>
          <w:sz w:val="14"/>
          <w:szCs w:val="14"/>
        </w:rPr>
        <w:t>Wykonawcy)</w:t>
      </w:r>
    </w:p>
    <w:sectPr w:rsidR="00576311" w:rsidRPr="00217682" w:rsidSect="00217682">
      <w:headerReference w:type="default" r:id="rId7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BA" w:rsidRDefault="000908BA" w:rsidP="007727F0">
      <w:pPr>
        <w:spacing w:after="0" w:line="240" w:lineRule="auto"/>
      </w:pPr>
      <w:r>
        <w:separator/>
      </w:r>
    </w:p>
  </w:endnote>
  <w:endnote w:type="continuationSeparator" w:id="0">
    <w:p w:rsidR="000908BA" w:rsidRDefault="000908BA" w:rsidP="0077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BA" w:rsidRDefault="000908BA" w:rsidP="007727F0">
      <w:pPr>
        <w:spacing w:after="0" w:line="240" w:lineRule="auto"/>
      </w:pPr>
      <w:r>
        <w:separator/>
      </w:r>
    </w:p>
  </w:footnote>
  <w:footnote w:type="continuationSeparator" w:id="0">
    <w:p w:rsidR="000908BA" w:rsidRDefault="000908BA" w:rsidP="0077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7F0" w:rsidRDefault="007727F0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0A4779AD" wp14:editId="7313922C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D57"/>
    <w:multiLevelType w:val="hybridMultilevel"/>
    <w:tmpl w:val="35EAC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E2BD7"/>
    <w:multiLevelType w:val="hybridMultilevel"/>
    <w:tmpl w:val="B1C8D6B2"/>
    <w:lvl w:ilvl="0" w:tplc="6348388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54947EB4"/>
    <w:multiLevelType w:val="hybridMultilevel"/>
    <w:tmpl w:val="C37E6778"/>
    <w:lvl w:ilvl="0" w:tplc="55809E0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63A618A3"/>
    <w:multiLevelType w:val="hybridMultilevel"/>
    <w:tmpl w:val="613E024E"/>
    <w:lvl w:ilvl="0" w:tplc="08B8CE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26A49"/>
    <w:multiLevelType w:val="hybridMultilevel"/>
    <w:tmpl w:val="67324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DD"/>
    <w:rsid w:val="000904DC"/>
    <w:rsid w:val="000908BA"/>
    <w:rsid w:val="000C3C52"/>
    <w:rsid w:val="001E240C"/>
    <w:rsid w:val="00205CFB"/>
    <w:rsid w:val="00217682"/>
    <w:rsid w:val="00227446"/>
    <w:rsid w:val="003528EF"/>
    <w:rsid w:val="00432113"/>
    <w:rsid w:val="00462108"/>
    <w:rsid w:val="00484E53"/>
    <w:rsid w:val="004F7CBC"/>
    <w:rsid w:val="0057109E"/>
    <w:rsid w:val="00576311"/>
    <w:rsid w:val="005A001F"/>
    <w:rsid w:val="005E55BF"/>
    <w:rsid w:val="0073129E"/>
    <w:rsid w:val="007727F0"/>
    <w:rsid w:val="00880445"/>
    <w:rsid w:val="00887C5A"/>
    <w:rsid w:val="008B08DD"/>
    <w:rsid w:val="009367D2"/>
    <w:rsid w:val="00A71A74"/>
    <w:rsid w:val="00C40201"/>
    <w:rsid w:val="00C56805"/>
    <w:rsid w:val="00CC71AA"/>
    <w:rsid w:val="00CD1046"/>
    <w:rsid w:val="00D96E8B"/>
    <w:rsid w:val="00DF5A98"/>
    <w:rsid w:val="00E7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AF86A-0EBE-4AF5-8DFD-BCA6194C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7F0"/>
  </w:style>
  <w:style w:type="paragraph" w:styleId="Stopka">
    <w:name w:val="footer"/>
    <w:basedOn w:val="Normalny"/>
    <w:link w:val="StopkaZnak"/>
    <w:uiPriority w:val="99"/>
    <w:unhideWhenUsed/>
    <w:rsid w:val="0077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7F0"/>
  </w:style>
  <w:style w:type="paragraph" w:styleId="Akapitzlist">
    <w:name w:val="List Paragraph"/>
    <w:basedOn w:val="Normalny"/>
    <w:uiPriority w:val="34"/>
    <w:qFormat/>
    <w:rsid w:val="0048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14</cp:revision>
  <dcterms:created xsi:type="dcterms:W3CDTF">2017-09-23T20:21:00Z</dcterms:created>
  <dcterms:modified xsi:type="dcterms:W3CDTF">2021-06-18T14:15:00Z</dcterms:modified>
</cp:coreProperties>
</file>